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AC95C" w14:textId="77777777" w:rsidR="00AB1D77" w:rsidRPr="00AB1D77" w:rsidRDefault="00D163D5" w:rsidP="00AB1D77">
      <w:pPr>
        <w:pStyle w:val="a3"/>
        <w:rPr>
          <w:sz w:val="22"/>
          <w:szCs w:val="22"/>
          <w:highlight w:val="yellow"/>
          <w:lang w:val="en-US"/>
        </w:rPr>
      </w:pPr>
      <w:r w:rsidRPr="00D163D5">
        <w:rPr>
          <w:sz w:val="22"/>
          <w:szCs w:val="22"/>
        </w:rPr>
        <w:t>3GPP TSG RAN WG1 Meeting #123</w:t>
      </w:r>
      <w:r w:rsidRPr="00D163D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B1D77" w:rsidRPr="00AB1D77">
        <w:rPr>
          <w:sz w:val="22"/>
          <w:szCs w:val="22"/>
          <w:lang w:val="en-US"/>
        </w:rPr>
        <w:t>R1-2508920</w:t>
      </w:r>
    </w:p>
    <w:p w14:paraId="43F9778B" w14:textId="60E10A58" w:rsidR="004E3939" w:rsidRPr="00DA53A0" w:rsidRDefault="00D163D5" w:rsidP="00D163D5">
      <w:pPr>
        <w:pStyle w:val="a3"/>
        <w:rPr>
          <w:sz w:val="22"/>
          <w:szCs w:val="22"/>
        </w:rPr>
      </w:pPr>
      <w:r w:rsidRPr="00D163D5">
        <w:rPr>
          <w:sz w:val="22"/>
          <w:szCs w:val="22"/>
        </w:rPr>
        <w:t>Dallas, USA, Nov 17th – 21st, 2025</w:t>
      </w:r>
    </w:p>
    <w:p w14:paraId="546BDA33" w14:textId="77777777" w:rsidR="00B97703" w:rsidRDefault="00B97703">
      <w:pPr>
        <w:rPr>
          <w:rFonts w:ascii="Arial" w:hAnsi="Arial" w:cs="Arial"/>
        </w:rPr>
      </w:pPr>
    </w:p>
    <w:p w14:paraId="489EB40A" w14:textId="644C845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63D5">
        <w:rPr>
          <w:rFonts w:ascii="Arial" w:hAnsi="Arial" w:cs="Arial" w:hint="eastAsia"/>
          <w:bCs/>
          <w:sz w:val="22"/>
          <w:szCs w:val="22"/>
        </w:rPr>
        <w:t>Draft</w:t>
      </w:r>
      <w:r w:rsidR="00D163D5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D163D5">
        <w:rPr>
          <w:rFonts w:ascii="Arial" w:hAnsi="Arial" w:cs="Arial" w:hint="eastAsia"/>
          <w:bCs/>
          <w:sz w:val="22"/>
          <w:szCs w:val="22"/>
        </w:rPr>
        <w:t>reply</w:t>
      </w:r>
      <w:proofErr w:type="gramEnd"/>
      <w:r w:rsidR="00D163D5">
        <w:rPr>
          <w:rFonts w:ascii="Arial" w:hAnsi="Arial" w:cs="Arial" w:hint="eastAsia"/>
          <w:bCs/>
          <w:sz w:val="22"/>
          <w:szCs w:val="22"/>
        </w:rPr>
        <w:t xml:space="preserve"> LS </w:t>
      </w:r>
      <w:r w:rsidR="00D163D5">
        <w:rPr>
          <w:rFonts w:ascii="Arial" w:hAnsi="Arial" w:cs="Arial"/>
          <w:bCs/>
          <w:sz w:val="22"/>
          <w:szCs w:val="22"/>
        </w:rPr>
        <w:t xml:space="preserve">on SBFD and </w:t>
      </w:r>
      <w:r w:rsidR="00D163D5">
        <w:rPr>
          <w:rFonts w:ascii="Arial" w:hAnsi="Arial" w:cs="Arial" w:hint="eastAsia"/>
          <w:bCs/>
          <w:sz w:val="22"/>
          <w:szCs w:val="22"/>
        </w:rPr>
        <w:t>CA</w:t>
      </w:r>
    </w:p>
    <w:p w14:paraId="0B6DB17D" w14:textId="0A6D85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E5A" w:rsidRPr="00897E5A">
        <w:rPr>
          <w:rFonts w:ascii="Arial" w:hAnsi="Arial" w:cs="Arial"/>
          <w:sz w:val="22"/>
          <w:szCs w:val="22"/>
        </w:rPr>
        <w:t>R1-2508304</w:t>
      </w:r>
      <w:r w:rsidR="00D163D5" w:rsidRPr="00FB1B33">
        <w:rPr>
          <w:rFonts w:ascii="Arial" w:hAnsi="Arial" w:cs="Arial"/>
          <w:sz w:val="22"/>
          <w:szCs w:val="22"/>
        </w:rPr>
        <w:t xml:space="preserve"> (R2-2507746)</w:t>
      </w:r>
    </w:p>
    <w:p w14:paraId="0A3EB153" w14:textId="562B1F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63D5" w:rsidRPr="00FB1B33">
        <w:rPr>
          <w:rFonts w:ascii="Arial" w:hAnsi="Arial" w:cs="Arial" w:hint="eastAsia"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22257760" w14:textId="5AED580A" w:rsidR="00B97703" w:rsidRPr="00FB1B3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163D5" w:rsidRPr="00FB1B33">
        <w:rPr>
          <w:rFonts w:ascii="Arial" w:hAnsi="Arial" w:cs="Arial"/>
          <w:sz w:val="22"/>
          <w:szCs w:val="22"/>
        </w:rPr>
        <w:t>NR_duplex_evo</w:t>
      </w:r>
      <w:proofErr w:type="spellEnd"/>
      <w:r w:rsidR="00D163D5" w:rsidRPr="00FB1B33">
        <w:rPr>
          <w:rFonts w:ascii="Arial" w:hAnsi="Arial" w:cs="Arial"/>
          <w:sz w:val="22"/>
          <w:szCs w:val="22"/>
        </w:rPr>
        <w:t>-Core</w:t>
      </w:r>
    </w:p>
    <w:p w14:paraId="1261568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411272" w14:textId="2CFB7E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163D5" w:rsidRPr="00FB1B33">
        <w:rPr>
          <w:rFonts w:ascii="Arial" w:hAnsi="Arial" w:cs="Arial" w:hint="eastAsia"/>
          <w:bCs/>
          <w:sz w:val="22"/>
          <w:szCs w:val="22"/>
          <w:lang w:eastAsia="zh-CN"/>
        </w:rPr>
        <w:t>RAN</w:t>
      </w:r>
      <w:r w:rsidR="008049D6" w:rsidRPr="00FB1B33">
        <w:rPr>
          <w:rFonts w:ascii="Arial" w:hAnsi="Arial" w:cs="Arial" w:hint="eastAsia"/>
          <w:bCs/>
          <w:sz w:val="22"/>
          <w:szCs w:val="22"/>
          <w:lang w:eastAsia="zh-CN"/>
        </w:rPr>
        <w:t xml:space="preserve"> WG</w:t>
      </w:r>
      <w:r w:rsidR="00D163D5" w:rsidRPr="00FB1B33">
        <w:rPr>
          <w:rFonts w:ascii="Arial" w:hAnsi="Arial" w:cs="Arial" w:hint="eastAsia"/>
          <w:bCs/>
          <w:sz w:val="22"/>
          <w:szCs w:val="22"/>
          <w:lang w:eastAsia="zh-CN"/>
        </w:rPr>
        <w:t>1</w:t>
      </w:r>
    </w:p>
    <w:p w14:paraId="4A6D68FE" w14:textId="2F2AFC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63D5" w:rsidRPr="00FB1B33">
        <w:rPr>
          <w:rFonts w:ascii="Arial" w:hAnsi="Arial" w:cs="Arial" w:hint="eastAsia"/>
          <w:sz w:val="22"/>
          <w:szCs w:val="22"/>
          <w:lang w:eastAsia="zh-CN"/>
        </w:rPr>
        <w:t>RAN</w:t>
      </w:r>
      <w:r w:rsidR="008049D6" w:rsidRPr="00FB1B33">
        <w:rPr>
          <w:rFonts w:ascii="Arial" w:hAnsi="Arial" w:cs="Arial" w:hint="eastAsia"/>
          <w:sz w:val="22"/>
          <w:szCs w:val="22"/>
          <w:lang w:eastAsia="zh-CN"/>
        </w:rPr>
        <w:t xml:space="preserve"> WG</w:t>
      </w:r>
      <w:r w:rsidR="00D163D5" w:rsidRPr="00FB1B33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261C059" w14:textId="4F516D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63D5" w:rsidRPr="00FB1B33">
        <w:rPr>
          <w:rFonts w:ascii="Arial" w:hAnsi="Arial" w:cs="Arial" w:hint="eastAsia"/>
          <w:sz w:val="22"/>
          <w:szCs w:val="22"/>
          <w:lang w:eastAsia="zh-CN"/>
        </w:rPr>
        <w:t>RAN</w:t>
      </w:r>
      <w:r w:rsidR="008049D6" w:rsidRPr="00FB1B33">
        <w:rPr>
          <w:rFonts w:ascii="Arial" w:hAnsi="Arial" w:cs="Arial" w:hint="eastAsia"/>
          <w:sz w:val="22"/>
          <w:szCs w:val="22"/>
          <w:lang w:eastAsia="zh-CN"/>
        </w:rPr>
        <w:t xml:space="preserve"> WG</w:t>
      </w:r>
      <w:r w:rsidR="00D163D5" w:rsidRPr="00FB1B33">
        <w:rPr>
          <w:rFonts w:ascii="Arial" w:hAnsi="Arial" w:cs="Arial" w:hint="eastAsia"/>
          <w:sz w:val="22"/>
          <w:szCs w:val="22"/>
          <w:lang w:eastAsia="zh-CN"/>
        </w:rPr>
        <w:t>4</w:t>
      </w:r>
    </w:p>
    <w:bookmarkEnd w:id="5"/>
    <w:bookmarkEnd w:id="6"/>
    <w:p w14:paraId="5B1CFB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EE65E0" w14:textId="28611C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63D5" w:rsidRPr="00FB1B33">
        <w:rPr>
          <w:rFonts w:ascii="Arial" w:hAnsi="Arial" w:cs="Arial" w:hint="eastAsia"/>
          <w:sz w:val="22"/>
          <w:szCs w:val="22"/>
          <w:lang w:eastAsia="zh-CN"/>
        </w:rPr>
        <w:t>Qinyan JIANG</w:t>
      </w:r>
    </w:p>
    <w:p w14:paraId="31C6E4B1" w14:textId="69607E2D" w:rsidR="00B97703" w:rsidRPr="00FB1B33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63D5" w:rsidRPr="00FB1B33">
        <w:rPr>
          <w:rFonts w:ascii="Arial" w:hAnsi="Arial" w:cs="Arial" w:hint="eastAsia"/>
          <w:sz w:val="22"/>
          <w:szCs w:val="22"/>
          <w:lang w:eastAsia="zh-CN"/>
        </w:rPr>
        <w:t>jiangqinyan@fujitsu.com</w:t>
      </w:r>
    </w:p>
    <w:p w14:paraId="36403B7C" w14:textId="56E6F97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936E51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FF12B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97E109C" w14:textId="52F1B2E0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8049D6">
        <w:rPr>
          <w:rFonts w:ascii="Arial" w:hAnsi="Arial" w:cs="Arial"/>
          <w:b/>
          <w:sz w:val="22"/>
          <w:szCs w:val="22"/>
        </w:rPr>
        <w:t>Attachments:</w:t>
      </w:r>
      <w:r w:rsidRPr="008049D6">
        <w:rPr>
          <w:rFonts w:ascii="Arial" w:hAnsi="Arial" w:cs="Arial"/>
          <w:b/>
          <w:sz w:val="22"/>
          <w:szCs w:val="22"/>
        </w:rPr>
        <w:tab/>
      </w:r>
      <w:r w:rsidR="00FB1B33" w:rsidRPr="00FB1B33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14:paraId="18ACB6C2" w14:textId="77777777" w:rsidR="008049D6" w:rsidRPr="008049D6" w:rsidRDefault="008049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968D7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E9FEF2E" w14:textId="77777777" w:rsidR="008049D6" w:rsidRDefault="008049D6" w:rsidP="008049D6">
      <w:r>
        <w:t>RAN</w:t>
      </w:r>
      <w:r>
        <w:rPr>
          <w:rFonts w:hint="eastAsia"/>
        </w:rPr>
        <w:t>1</w:t>
      </w:r>
      <w:r>
        <w:t xml:space="preserve"> thank</w:t>
      </w:r>
      <w:r>
        <w:rPr>
          <w:rFonts w:hint="eastAsia"/>
        </w:rPr>
        <w:t>s</w:t>
      </w:r>
      <w:r>
        <w:t xml:space="preserve"> RAN</w:t>
      </w:r>
      <w:r>
        <w:rPr>
          <w:rFonts w:hint="eastAsia"/>
        </w:rPr>
        <w:t>2</w:t>
      </w:r>
      <w:r>
        <w:t xml:space="preserve"> for the LS on SBFD and C</w:t>
      </w:r>
      <w:r>
        <w:rPr>
          <w:rFonts w:hint="eastAsia"/>
        </w:rPr>
        <w:t>A</w:t>
      </w:r>
      <w:r>
        <w:t xml:space="preserve"> in R2-2507746.</w:t>
      </w:r>
    </w:p>
    <w:p w14:paraId="08A7A3B0" w14:textId="77777777" w:rsidR="008049D6" w:rsidRDefault="008049D6" w:rsidP="008049D6">
      <w:r>
        <w:rPr>
          <w:rFonts w:hint="eastAsia"/>
        </w:rPr>
        <w:t xml:space="preserve">RAN1 would like to provide the following TP </w:t>
      </w:r>
      <w:r>
        <w:t>for supporting SBFD with CA in the stage-2 specification (TS 38.300).</w:t>
      </w:r>
      <w:r>
        <w:rPr>
          <w:rFonts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F4782" w14:paraId="34FE2131" w14:textId="77777777">
        <w:tc>
          <w:tcPr>
            <w:tcW w:w="9855" w:type="dxa"/>
          </w:tcPr>
          <w:p w14:paraId="223F40AD" w14:textId="77777777" w:rsidR="008049D6" w:rsidRDefault="008049D6">
            <w:pPr>
              <w:keepNext/>
              <w:keepLines/>
              <w:spacing w:before="180"/>
              <w:ind w:left="1134" w:hanging="1134"/>
              <w:jc w:val="both"/>
              <w:outlineLvl w:val="1"/>
              <w:rPr>
                <w:rFonts w:ascii="Arial" w:eastAsia="Times New Roman" w:hAnsi="Arial"/>
                <w:sz w:val="32"/>
                <w:lang w:eastAsia="zh-CN"/>
              </w:rPr>
            </w:pPr>
            <w:bookmarkStart w:id="7" w:name="OLE_LINK17"/>
            <w:bookmarkStart w:id="8" w:name="OLE_LINK18"/>
            <w:bookmarkStart w:id="9" w:name="OLE_LINK19"/>
            <w:bookmarkStart w:id="10" w:name="_Toc185530772"/>
            <w:bookmarkStart w:id="11" w:name="_Toc210385671"/>
            <w:bookmarkStart w:id="12" w:name="OLE_LINK16"/>
            <w:r>
              <w:rPr>
                <w:rFonts w:ascii="Arial" w:hAnsi="Arial"/>
                <w:sz w:val="32"/>
                <w:lang w:eastAsia="zh-CN"/>
              </w:rPr>
              <w:t>23</w:t>
            </w:r>
            <w:r>
              <w:rPr>
                <w:rFonts w:ascii="Arial" w:eastAsia="Times New Roman" w:hAnsi="Arial"/>
                <w:sz w:val="32"/>
                <w:lang w:eastAsia="zh-CN"/>
              </w:rPr>
              <w:t>.1</w:t>
            </w:r>
            <w:r>
              <w:rPr>
                <w:rFonts w:ascii="Arial" w:eastAsia="Times New Roman" w:hAnsi="Arial"/>
                <w:sz w:val="32"/>
                <w:lang w:eastAsia="zh-CN"/>
              </w:rPr>
              <w:tab/>
              <w:t>Genera</w:t>
            </w:r>
            <w:bookmarkEnd w:id="7"/>
            <w:bookmarkEnd w:id="8"/>
            <w:bookmarkEnd w:id="9"/>
            <w:r>
              <w:rPr>
                <w:rFonts w:ascii="Arial" w:eastAsia="Times New Roman" w:hAnsi="Arial"/>
                <w:sz w:val="32"/>
                <w:lang w:eastAsia="zh-CN"/>
              </w:rPr>
              <w:t>l</w:t>
            </w:r>
            <w:bookmarkEnd w:id="10"/>
            <w:bookmarkEnd w:id="11"/>
          </w:p>
          <w:bookmarkEnd w:id="12"/>
          <w:p w14:paraId="6FA0E6FD" w14:textId="1DD09992" w:rsidR="008049D6" w:rsidRDefault="008049D6">
            <w:pPr>
              <w:jc w:val="both"/>
              <w:rPr>
                <w:color w:val="EE0000"/>
                <w:u w:val="single"/>
                <w:lang w:eastAsia="zh-CN"/>
              </w:rPr>
            </w:pPr>
            <w:r>
              <w:rPr>
                <w:rFonts w:eastAsia="Yu Mincho" w:hint="eastAsia"/>
                <w:lang w:eastAsia="zh-CN"/>
              </w:rPr>
              <w:t xml:space="preserve">Sub-Band Full Duplex (SBFD) operation is </w:t>
            </w:r>
            <w:r>
              <w:rPr>
                <w:rFonts w:eastAsia="Yu Mincho"/>
                <w:lang w:eastAsia="zh-CN"/>
              </w:rPr>
              <w:t>supported for</w:t>
            </w:r>
            <w:r>
              <w:rPr>
                <w:rFonts w:eastAsia="Yu Mincho" w:hint="eastAsia"/>
                <w:lang w:eastAsia="zh-CN"/>
              </w:rPr>
              <w:t xml:space="preserve"> a TDD </w:t>
            </w:r>
            <w:r>
              <w:rPr>
                <w:rFonts w:eastAsia="Yu Mincho"/>
                <w:lang w:eastAsia="zh-CN"/>
              </w:rPr>
              <w:t xml:space="preserve">carrier, </w:t>
            </w:r>
            <w:bookmarkStart w:id="13" w:name="OLE_LINK11"/>
            <w:bookmarkStart w:id="14" w:name="OLE_LINK12"/>
            <w:r>
              <w:rPr>
                <w:rFonts w:eastAsia="Yu Mincho"/>
                <w:lang w:eastAsia="zh-CN"/>
              </w:rPr>
              <w:t>enabling</w:t>
            </w:r>
            <w:r>
              <w:rPr>
                <w:rFonts w:eastAsia="Yu Mincho" w:hint="eastAsia"/>
                <w:lang w:eastAsia="zh-CN"/>
              </w:rPr>
              <w:t xml:space="preserve"> simultaneous downlink </w:t>
            </w:r>
            <w:r>
              <w:rPr>
                <w:rFonts w:eastAsia="Yu Mincho"/>
                <w:lang w:eastAsia="zh-CN"/>
              </w:rPr>
              <w:t xml:space="preserve">transmission </w:t>
            </w:r>
            <w:r>
              <w:rPr>
                <w:rFonts w:eastAsia="Yu Mincho" w:hint="eastAsia"/>
                <w:lang w:eastAsia="zh-CN"/>
              </w:rPr>
              <w:t xml:space="preserve">and uplink </w:t>
            </w:r>
            <w:r>
              <w:rPr>
                <w:rFonts w:eastAsia="Yu Mincho"/>
                <w:lang w:eastAsia="zh-CN"/>
              </w:rPr>
              <w:t>reception</w:t>
            </w:r>
            <w:r>
              <w:rPr>
                <w:rFonts w:eastAsia="Yu Mincho" w:hint="eastAsia"/>
                <w:lang w:eastAsia="zh-CN"/>
              </w:rPr>
              <w:t xml:space="preserve"> at the </w:t>
            </w:r>
            <w:proofErr w:type="spellStart"/>
            <w:r>
              <w:rPr>
                <w:rFonts w:eastAsia="Yu Mincho" w:hint="eastAsia"/>
                <w:lang w:eastAsia="zh-CN"/>
              </w:rPr>
              <w:t>gNB</w:t>
            </w:r>
            <w:bookmarkEnd w:id="13"/>
            <w:bookmarkEnd w:id="14"/>
            <w:proofErr w:type="spellEnd"/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eastAsia="Yu Mincho"/>
                <w:lang w:eastAsia="zh-CN"/>
              </w:rPr>
              <w:t xml:space="preserve">on their </w:t>
            </w:r>
            <w:r>
              <w:rPr>
                <w:rFonts w:eastAsia="Times New Roman"/>
                <w:lang w:eastAsia="zh-CN"/>
              </w:rPr>
              <w:t xml:space="preserve">non-overlapping </w:t>
            </w:r>
            <w:r>
              <w:rPr>
                <w:rFonts w:eastAsia="Yu Mincho"/>
                <w:lang w:eastAsia="zh-CN"/>
              </w:rPr>
              <w:t>respective sub-bands</w:t>
            </w:r>
            <w:r>
              <w:rPr>
                <w:rFonts w:eastAsia="Yu Mincho" w:hint="eastAsia"/>
                <w:lang w:eastAsia="zh-CN"/>
              </w:rPr>
              <w:t xml:space="preserve">. From UE perspective, full duplex is not supported. The configurations of cell-specific SBFD time and frequency resources are provided </w:t>
            </w:r>
            <w:bookmarkStart w:id="15" w:name="OLE_LINK10"/>
            <w:r>
              <w:rPr>
                <w:rFonts w:eastAsia="Yu Mincho" w:hint="eastAsia"/>
                <w:lang w:eastAsia="zh-CN"/>
              </w:rPr>
              <w:t xml:space="preserve">through </w:t>
            </w:r>
            <w:bookmarkEnd w:id="15"/>
            <w:r>
              <w:rPr>
                <w:rFonts w:eastAsia="Yu Mincho" w:hint="eastAsia"/>
                <w:lang w:eastAsia="zh-CN"/>
              </w:rPr>
              <w:t xml:space="preserve">SIB1 or dedicated </w:t>
            </w:r>
            <w:r>
              <w:rPr>
                <w:rFonts w:eastAsia="Yu Mincho"/>
                <w:lang w:eastAsia="zh-CN"/>
              </w:rPr>
              <w:t>signalling</w:t>
            </w:r>
            <w:r>
              <w:rPr>
                <w:rFonts w:eastAsia="Yu Mincho" w:hint="eastAsia"/>
                <w:lang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color w:val="EE0000"/>
                <w:u w:val="single"/>
                <w:lang w:eastAsia="zh-CN"/>
              </w:rPr>
              <w:t>I</w:t>
            </w:r>
            <w:r>
              <w:rPr>
                <w:rFonts w:eastAsia="宋体" w:hint="eastAsia"/>
                <w:color w:val="EE0000"/>
                <w:u w:val="single"/>
                <w:lang w:eastAsia="zh-CN"/>
              </w:rPr>
              <w:t xml:space="preserve">n CA </w:t>
            </w:r>
            <w:r>
              <w:rPr>
                <w:rFonts w:eastAsia="宋体"/>
                <w:color w:val="EE0000"/>
                <w:u w:val="single"/>
                <w:lang w:eastAsia="zh-CN"/>
              </w:rPr>
              <w:t>scenario</w:t>
            </w:r>
            <w:r>
              <w:rPr>
                <w:rFonts w:eastAsia="宋体" w:hint="eastAsia"/>
                <w:color w:val="EE0000"/>
                <w:u w:val="single"/>
                <w:lang w:eastAsia="zh-CN"/>
              </w:rPr>
              <w:t xml:space="preserve">, </w:t>
            </w:r>
            <w:r w:rsidR="00D675B7">
              <w:rPr>
                <w:rFonts w:eastAsia="宋体" w:hint="eastAsia"/>
                <w:color w:val="EE0000"/>
                <w:u w:val="single"/>
                <w:lang w:eastAsia="zh-CN"/>
              </w:rPr>
              <w:t xml:space="preserve">only </w:t>
            </w:r>
            <w:r>
              <w:rPr>
                <w:rFonts w:eastAsia="宋体" w:hint="eastAsia"/>
                <w:color w:val="EE0000"/>
                <w:u w:val="single"/>
                <w:lang w:eastAsia="zh-CN"/>
              </w:rPr>
              <w:t xml:space="preserve">one </w:t>
            </w:r>
            <w:r w:rsidR="00D675B7">
              <w:rPr>
                <w:rFonts w:eastAsia="宋体" w:hint="eastAsia"/>
                <w:color w:val="EE0000"/>
                <w:u w:val="single"/>
                <w:lang w:eastAsia="zh-CN"/>
              </w:rPr>
              <w:t>cell</w:t>
            </w:r>
            <w:r w:rsidR="00FE47CE">
              <w:rPr>
                <w:rFonts w:eastAsia="宋体" w:hint="eastAsia"/>
                <w:color w:val="EE0000"/>
                <w:u w:val="single"/>
                <w:lang w:eastAsia="zh-CN"/>
              </w:rPr>
              <w:t xml:space="preserve">, either the </w:t>
            </w:r>
            <w:proofErr w:type="spellStart"/>
            <w:r w:rsidR="00FE47CE">
              <w:rPr>
                <w:rFonts w:eastAsia="宋体" w:hint="eastAsia"/>
                <w:color w:val="EE0000"/>
                <w:u w:val="single"/>
                <w:lang w:eastAsia="zh-CN"/>
              </w:rPr>
              <w:t>Pcell</w:t>
            </w:r>
            <w:proofErr w:type="spellEnd"/>
            <w:r w:rsidR="00FE47CE">
              <w:rPr>
                <w:rFonts w:eastAsia="宋体" w:hint="eastAsia"/>
                <w:color w:val="EE0000"/>
                <w:u w:val="single"/>
                <w:lang w:eastAsia="zh-CN"/>
              </w:rPr>
              <w:t xml:space="preserve"> or a </w:t>
            </w:r>
            <w:proofErr w:type="spellStart"/>
            <w:r w:rsidR="00FE47CE">
              <w:rPr>
                <w:rFonts w:eastAsia="宋体" w:hint="eastAsia"/>
                <w:color w:val="EE0000"/>
                <w:u w:val="single"/>
                <w:lang w:eastAsia="zh-CN"/>
              </w:rPr>
              <w:t>Scell</w:t>
            </w:r>
            <w:proofErr w:type="spellEnd"/>
            <w:r w:rsidR="00FE47CE">
              <w:rPr>
                <w:rFonts w:eastAsia="宋体" w:hint="eastAsia"/>
                <w:color w:val="EE0000"/>
                <w:u w:val="single"/>
                <w:lang w:eastAsia="zh-CN"/>
              </w:rPr>
              <w:t>,</w:t>
            </w:r>
            <w:r w:rsidR="00D675B7">
              <w:rPr>
                <w:rFonts w:eastAsia="宋体" w:hint="eastAsia"/>
                <w:color w:val="EE0000"/>
                <w:u w:val="single"/>
                <w:lang w:eastAsia="zh-CN"/>
              </w:rPr>
              <w:t xml:space="preserve"> can be configured with </w:t>
            </w:r>
            <w:r w:rsidR="00D675B7" w:rsidRPr="00D675B7">
              <w:rPr>
                <w:rFonts w:eastAsia="宋体"/>
                <w:color w:val="EE0000"/>
                <w:u w:val="single"/>
                <w:lang w:eastAsia="zh-CN"/>
              </w:rPr>
              <w:t>SBFD time and frequency resources</w:t>
            </w:r>
            <w:r>
              <w:rPr>
                <w:rFonts w:eastAsia="宋体" w:hint="eastAsia"/>
                <w:color w:val="EE0000"/>
                <w:u w:val="single"/>
                <w:lang w:eastAsia="zh-CN"/>
              </w:rPr>
              <w:t>.</w:t>
            </w:r>
          </w:p>
          <w:p w14:paraId="0ACA7651" w14:textId="77777777" w:rsidR="008049D6" w:rsidRDefault="008049D6">
            <w:pPr>
              <w:jc w:val="both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A UE can be semi-statically configured with SBFD sub-bands in downlink symbols and flexible symbols </w:t>
            </w:r>
            <w:r>
              <w:rPr>
                <w:rFonts w:eastAsia="Times New Roman"/>
                <w:lang w:eastAsia="zh-CN"/>
              </w:rPr>
              <w:t xml:space="preserve">provided by </w:t>
            </w:r>
            <w:proofErr w:type="spellStart"/>
            <w:r>
              <w:rPr>
                <w:rFonts w:eastAsia="Times New Roman"/>
                <w:i/>
                <w:lang w:eastAsia="zh-CN"/>
              </w:rPr>
              <w:t>tdd</w:t>
            </w:r>
            <w:proofErr w:type="spellEnd"/>
            <w:r>
              <w:rPr>
                <w:rFonts w:eastAsia="Times New Roman"/>
                <w:i/>
                <w:lang w:eastAsia="zh-CN"/>
              </w:rPr>
              <w:t>-UL-DL-</w:t>
            </w:r>
            <w:proofErr w:type="spellStart"/>
            <w:r>
              <w:rPr>
                <w:rFonts w:eastAsia="Times New Roman"/>
                <w:i/>
                <w:lang w:eastAsia="zh-CN"/>
              </w:rPr>
              <w:t>ConfigurationCommon</w:t>
            </w:r>
            <w:proofErr w:type="spellEnd"/>
            <w:r>
              <w:rPr>
                <w:rFonts w:eastAsia="Malgun Gothic"/>
                <w:lang w:eastAsia="zh-CN"/>
              </w:rPr>
              <w:t xml:space="preserve"> and t</w:t>
            </w:r>
            <w:r>
              <w:rPr>
                <w:rFonts w:eastAsia="Times New Roman"/>
                <w:lang w:eastAsia="zh-CN"/>
              </w:rPr>
              <w:t xml:space="preserve">his UE is referred to as an SBFD aware UE. </w:t>
            </w:r>
            <w:r>
              <w:rPr>
                <w:rFonts w:eastAsia="Malgun Gothic"/>
                <w:lang w:eastAsia="zh-CN"/>
              </w:rPr>
              <w:t>The maximum number of UL sub-bands for SBFD operation in an SBFD symbol within a TDD carrier is one. The maximum number of DL sub-bands for SBFD operation in an SBFD symbol within a TDD carrier is two.</w:t>
            </w:r>
          </w:p>
          <w:p w14:paraId="1429C564" w14:textId="77777777" w:rsidR="008049D6" w:rsidRDefault="008049D6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In an SBFD symbol, except for cross-link interference measurements, a UE transmits or receives only in RBs that are both in the active UL BWP and in the UL sub-band, or both in the active DL BWP and the DL sub-band(s), respectively.</w:t>
            </w:r>
          </w:p>
          <w:p w14:paraId="21863724" w14:textId="77777777" w:rsidR="008049D6" w:rsidRDefault="008049D6">
            <w:pPr>
              <w:jc w:val="both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A UE can be configured to transmit or receive </w:t>
            </w:r>
            <w:r>
              <w:rPr>
                <w:rFonts w:eastAsia="Times New Roman" w:hint="eastAsia"/>
                <w:lang w:eastAsia="zh-CN"/>
              </w:rPr>
              <w:t xml:space="preserve">only </w:t>
            </w:r>
            <w:r>
              <w:rPr>
                <w:rFonts w:eastAsia="Times New Roman"/>
                <w:lang w:eastAsia="zh-CN"/>
              </w:rPr>
              <w:t>in non-SBFD symbols</w:t>
            </w:r>
            <w:r>
              <w:rPr>
                <w:rFonts w:eastAsia="Times New Roman" w:hint="eastAsia"/>
                <w:lang w:eastAsia="zh-CN"/>
              </w:rPr>
              <w:t xml:space="preserve">, </w:t>
            </w:r>
            <w:r>
              <w:rPr>
                <w:rFonts w:eastAsia="Times New Roman"/>
                <w:lang w:eastAsia="zh-CN"/>
              </w:rPr>
              <w:t>only</w:t>
            </w:r>
            <w:r>
              <w:rPr>
                <w:rFonts w:eastAsia="Times New Roman" w:hint="eastAsia"/>
                <w:lang w:eastAsia="zh-CN"/>
              </w:rPr>
              <w:t xml:space="preserve"> in</w:t>
            </w:r>
            <w:r>
              <w:rPr>
                <w:rFonts w:eastAsia="Times New Roman"/>
                <w:lang w:eastAsia="zh-CN"/>
              </w:rPr>
              <w:t xml:space="preserve"> SBFD symbols</w:t>
            </w:r>
            <w:r>
              <w:rPr>
                <w:rFonts w:eastAsia="Times New Roman" w:hint="eastAsia"/>
                <w:lang w:eastAsia="zh-CN"/>
              </w:rPr>
              <w:t>, or</w:t>
            </w:r>
            <w:r>
              <w:rPr>
                <w:rFonts w:eastAsia="Times New Roman"/>
                <w:lang w:eastAsia="zh-CN"/>
              </w:rPr>
              <w:t xml:space="preserve"> across both SBFD symbols and non-SBFD symbols for multiple transmission or reception occasions.</w:t>
            </w:r>
          </w:p>
        </w:tc>
      </w:tr>
    </w:tbl>
    <w:p w14:paraId="7511D88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8ADC28F" w14:textId="3CF09C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049D6">
        <w:rPr>
          <w:rFonts w:ascii="Arial" w:hAnsi="Arial" w:cs="Arial" w:hint="eastAsia"/>
          <w:b/>
          <w:lang w:eastAsia="zh-CN"/>
        </w:rPr>
        <w:t xml:space="preserve"> RAN WG2:</w:t>
      </w:r>
      <w:r>
        <w:rPr>
          <w:rFonts w:ascii="Arial" w:hAnsi="Arial" w:cs="Arial"/>
          <w:b/>
        </w:rPr>
        <w:t xml:space="preserve"> </w:t>
      </w:r>
    </w:p>
    <w:p w14:paraId="04ED620D" w14:textId="5D6EB8C7" w:rsidR="00B97703" w:rsidRPr="008049D6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049D6" w:rsidRPr="008049D6">
        <w:t>RAN1 respectfully asks RAN2 to take the above TP into account.</w:t>
      </w:r>
    </w:p>
    <w:p w14:paraId="21D74944" w14:textId="1088DCC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 WG</w:t>
      </w:r>
      <w:r w:rsidR="008049D6">
        <w:rPr>
          <w:rFonts w:cs="Arial" w:hint="eastAsia"/>
          <w:bCs/>
          <w:szCs w:val="36"/>
          <w:lang w:eastAsia="zh-CN"/>
        </w:rPr>
        <w:t>1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A713A3" w14:textId="49478532" w:rsidR="008049D6" w:rsidRDefault="008049D6" w:rsidP="008049D6">
      <w:r>
        <w:t>TSG RAN1 Meeting #124</w:t>
      </w:r>
      <w:r>
        <w:tab/>
      </w:r>
      <w:r>
        <w:tab/>
      </w:r>
      <w:r>
        <w:tab/>
        <w:t>Feb</w:t>
      </w:r>
      <w:r>
        <w:rPr>
          <w:rFonts w:hint="eastAsia"/>
          <w:lang w:eastAsia="zh-CN"/>
        </w:rPr>
        <w:t xml:space="preserve"> 9</w:t>
      </w:r>
      <w:r w:rsidRPr="008049D6">
        <w:rPr>
          <w:lang w:eastAsia="zh-CN"/>
        </w:rPr>
        <w:t xml:space="preserve">th – </w:t>
      </w:r>
      <w:r>
        <w:rPr>
          <w:rFonts w:hint="eastAsia"/>
          <w:lang w:eastAsia="zh-CN"/>
        </w:rPr>
        <w:t>13th,</w:t>
      </w:r>
      <w:r>
        <w:t xml:space="preserve"> 2026</w:t>
      </w:r>
      <w:r>
        <w:tab/>
      </w:r>
      <w:r>
        <w:tab/>
      </w:r>
      <w:r>
        <w:tab/>
      </w:r>
      <w:r>
        <w:tab/>
        <w:t>Gothenburg, SE</w:t>
      </w:r>
    </w:p>
    <w:p w14:paraId="06A43D23" w14:textId="0CA9AB98" w:rsidR="002F1940" w:rsidRPr="002F1940" w:rsidRDefault="008049D6" w:rsidP="008049D6">
      <w:r>
        <w:t>TSG RAN1 Meeting #124-bis</w:t>
      </w:r>
      <w:r>
        <w:tab/>
      </w:r>
      <w:r>
        <w:tab/>
      </w:r>
      <w:r>
        <w:rPr>
          <w:rFonts w:hint="eastAsia"/>
          <w:lang w:eastAsia="zh-CN"/>
        </w:rPr>
        <w:t xml:space="preserve">Apr </w:t>
      </w:r>
      <w:r>
        <w:t>13</w:t>
      </w:r>
      <w:r>
        <w:rPr>
          <w:rFonts w:hint="eastAsia"/>
          <w:lang w:eastAsia="zh-CN"/>
        </w:rPr>
        <w:t xml:space="preserve">th </w:t>
      </w:r>
      <w:r w:rsidRPr="008049D6">
        <w:rPr>
          <w:lang w:eastAsia="zh-CN"/>
        </w:rPr>
        <w:t xml:space="preserve">– </w:t>
      </w:r>
      <w:r>
        <w:rPr>
          <w:rFonts w:hint="eastAsia"/>
          <w:lang w:eastAsia="zh-CN"/>
        </w:rPr>
        <w:t>17th,</w:t>
      </w:r>
      <w:r>
        <w:t xml:space="preserve"> 2026</w:t>
      </w:r>
      <w:r>
        <w:tab/>
      </w:r>
      <w:r>
        <w:tab/>
      </w:r>
      <w:r>
        <w:tab/>
      </w:r>
      <w:r>
        <w:tab/>
        <w:t>Malta, MT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99CDC" w14:textId="77777777" w:rsidR="0080144F" w:rsidRDefault="0080144F">
      <w:pPr>
        <w:spacing w:after="0"/>
      </w:pPr>
      <w:r>
        <w:separator/>
      </w:r>
    </w:p>
  </w:endnote>
  <w:endnote w:type="continuationSeparator" w:id="0">
    <w:p w14:paraId="40BD82F9" w14:textId="77777777" w:rsidR="0080144F" w:rsidRDefault="008014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DC0FC" w14:textId="77777777" w:rsidR="0080144F" w:rsidRDefault="0080144F">
      <w:pPr>
        <w:spacing w:after="0"/>
      </w:pPr>
      <w:r>
        <w:separator/>
      </w:r>
    </w:p>
  </w:footnote>
  <w:footnote w:type="continuationSeparator" w:id="0">
    <w:p w14:paraId="3747B832" w14:textId="77777777" w:rsidR="0080144F" w:rsidRDefault="008014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43581261">
    <w:abstractNumId w:val="3"/>
  </w:num>
  <w:num w:numId="2" w16cid:durableId="437452840">
    <w:abstractNumId w:val="2"/>
  </w:num>
  <w:num w:numId="3" w16cid:durableId="1742479914">
    <w:abstractNumId w:val="1"/>
  </w:num>
  <w:num w:numId="4" w16cid:durableId="3249360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A52"/>
    <w:rsid w:val="000A5B4B"/>
    <w:rsid w:val="000F6242"/>
    <w:rsid w:val="002F1940"/>
    <w:rsid w:val="00383545"/>
    <w:rsid w:val="00433500"/>
    <w:rsid w:val="00433F71"/>
    <w:rsid w:val="0044061F"/>
    <w:rsid w:val="00440D43"/>
    <w:rsid w:val="00484207"/>
    <w:rsid w:val="004E3939"/>
    <w:rsid w:val="00512691"/>
    <w:rsid w:val="005F4782"/>
    <w:rsid w:val="007F4F92"/>
    <w:rsid w:val="0080144F"/>
    <w:rsid w:val="008049D6"/>
    <w:rsid w:val="008559A8"/>
    <w:rsid w:val="00897E5A"/>
    <w:rsid w:val="008D772F"/>
    <w:rsid w:val="009570EF"/>
    <w:rsid w:val="0099764C"/>
    <w:rsid w:val="009B655E"/>
    <w:rsid w:val="00AB1D77"/>
    <w:rsid w:val="00AD41C5"/>
    <w:rsid w:val="00B32245"/>
    <w:rsid w:val="00B97703"/>
    <w:rsid w:val="00CF6087"/>
    <w:rsid w:val="00D163D5"/>
    <w:rsid w:val="00D675B7"/>
    <w:rsid w:val="00FB1B33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C3645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basedOn w:val="a1"/>
    <w:rsid w:val="008049D6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359</Words>
  <Characters>1844</Characters>
  <DocSecurity>0</DocSecurity>
  <Lines>44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2002-04-23T07:10:00Z</cp:lastPrinted>
  <dcterms:created xsi:type="dcterms:W3CDTF">2020-01-14T15:01:00Z</dcterms:created>
  <dcterms:modified xsi:type="dcterms:W3CDTF">2025-11-06T13:41:00Z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2025-10-27T07:48:25Z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5c5a6953-b555-4a6f-af4b-5688fcad2d3f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a7295cc1-d279-42ac-ab4d-3b0f4fece050_Tag">
    <vt:lpwstr>10, 3, 0, 1</vt:lpwstr>
  </property>
</Properties>
</file>